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013</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人民政府批准，受惠州市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sz w:val="32"/>
          <w:szCs w:val="32"/>
          <w:highlight w:val="none"/>
          <w:shd w:val="clear" w:color="auto" w:fill="auto"/>
          <w:lang w:val="en-US" w:eastAsia="zh-CN"/>
        </w:rPr>
        <w:t>惠城区</w:t>
      </w:r>
      <w:r>
        <w:rPr>
          <w:rFonts w:hint="eastAsia" w:ascii="仿宋_GB2312" w:hAnsi="仿宋_GB2312" w:eastAsia="仿宋_GB2312" w:cs="仿宋_GB2312"/>
          <w:b/>
          <w:bCs/>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13</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（二）地块位置：惠城区高新科技产业园南部片区B-11-02地块；</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（三）地块编号：B-11-02；</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（四）地块范围：平面界址点以宗地图为准，宗地竖向界限以《</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rPr>
        <w:t>》（PB20</w:t>
      </w:r>
      <w:r>
        <w:rPr>
          <w:rFonts w:hint="eastAsia" w:ascii="仿宋_GB2312" w:hAnsi="仿宋_GB2312" w:eastAsia="仿宋_GB2312" w:cs="仿宋_GB2312"/>
          <w:sz w:val="32"/>
          <w:szCs w:val="32"/>
          <w:highlight w:val="none"/>
          <w:shd w:val="clear" w:color="auto" w:fill="auto"/>
          <w:lang w:val="en-US" w:eastAsia="zh-CN"/>
        </w:rPr>
        <w:t>220008号</w:t>
      </w:r>
      <w:r>
        <w:rPr>
          <w:rFonts w:hint="eastAsia" w:ascii="仿宋_GB2312" w:hAnsi="仿宋_GB2312" w:eastAsia="仿宋_GB2312" w:cs="仿宋_GB2312"/>
          <w:sz w:val="32"/>
          <w:szCs w:val="32"/>
          <w:highlight w:val="none"/>
          <w:shd w:val="clear" w:color="auto" w:fill="auto"/>
        </w:rPr>
        <w:t>）规定为准；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宗地使用权面积为：8831.49平方米；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（六）计算指标用地面积为：12768平方米；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（七）计容积率建筑面积：17876-31920（其中配套设施面积≥95）；</w:t>
      </w:r>
    </w:p>
    <w:p>
      <w:pPr>
        <w:shd w:val="clear"/>
        <w:tabs>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（八）容积率为：1.4</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2</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5；</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（九）建筑密度为：≥30%；</w:t>
      </w:r>
    </w:p>
    <w:p>
      <w:pPr>
        <w:shd w:val="clear"/>
        <w:tabs>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（十）机动车停车位配建标准：办公及生活服务设施每100平方米计容积率建筑面积≥1个，厂房每100平方米计容积率建筑面积≥0.3个，停车场须按不低于总停车位的10%的比例配置充电设施；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（十一）土地用途为：一类工业用地；</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（十二）土地使用权出让年限为：50年；</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（十三）产业类型：通信设备、计算机及其他电子设备制造业；</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（十四） 动工及竣工时间：该地块动工时间为地块交付之日起一年内，竣工时间为土地交付之日起三年内（因不可抗拒因素除外）；</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（十五）本地块交付时间为《国有土地使用权出让合同》签订之日。 </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22982</w:t>
      </w:r>
      <w:bookmarkStart w:id="8" w:name="_GoBack"/>
      <w:bookmarkEnd w:id="8"/>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20008</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所报总平面图的主要技术经济指标：</w:t>
      </w:r>
      <w:r>
        <w:rPr>
          <w:rFonts w:hint="eastAsia" w:ascii="仿宋_GB2312" w:hAnsi="宋体" w:eastAsia="仿宋_GB2312" w:cs="宋体"/>
          <w:kern w:val="0"/>
          <w:sz w:val="32"/>
          <w:szCs w:val="32"/>
          <w:lang w:val="en-US" w:eastAsia="zh-CN" w:bidi="ar-SA"/>
        </w:rPr>
        <w:t>规划布局为1栋地上9层的厂房、1栋地上6层配套服务楼，计算指标用地面积12768平方米，计容积率建筑面积31920平方米（其中生活服务设施建筑面积占比14.4%），容积率2.5，建筑密度30.4%，建筑首层占地面积为3887平方米（其中生活服务设施基底面积占用地面积比6.98%），绿地率15%，机动车停车位129个（其中地面57个，首层架空停车72个）。 所报方案技术指标符合《规划设计条件告知书》（PB20220008）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招商条件</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投资强度不低于18000元/平方米，土地产出率（营业收入）不低于19000元/平方米/年，税收产出不低于1000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numPr>
          <w:ilvl w:val="0"/>
          <w:numId w:val="0"/>
        </w:numPr>
        <w:kinsoku/>
        <w:wordWrap/>
        <w:overflowPunct/>
        <w:topLinePunct w:val="0"/>
        <w:autoSpaceDE/>
        <w:autoSpaceDN/>
        <w:bidi w:val="0"/>
        <w:spacing w:line="560" w:lineRule="exact"/>
        <w:ind w:left="10" w:leftChars="0" w:firstLine="617" w:firstLineChars="193"/>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竞得人需与惠州市惠城区高新科技产业园管理委员会签订《项目实施监管协议书》并完成监管协议公证手续。</w:t>
      </w:r>
    </w:p>
    <w:p>
      <w:pPr>
        <w:keepNext w:val="0"/>
        <w:keepLines w:val="0"/>
        <w:pageBreakBefore w:val="0"/>
        <w:widowControl w:val="0"/>
        <w:numPr>
          <w:ilvl w:val="0"/>
          <w:numId w:val="0"/>
        </w:numPr>
        <w:kinsoku/>
        <w:wordWrap/>
        <w:overflowPunct/>
        <w:topLinePunct w:val="0"/>
        <w:autoSpaceDE/>
        <w:autoSpaceDN/>
        <w:bidi w:val="0"/>
        <w:spacing w:line="560" w:lineRule="exact"/>
        <w:ind w:left="10" w:leftChars="0" w:firstLine="617" w:firstLineChars="19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竞得人在签订《成交确认书》前，须与</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对项目用地实施批后监管。</w:t>
      </w:r>
    </w:p>
    <w:p>
      <w:pPr>
        <w:keepNext w:val="0"/>
        <w:keepLines w:val="0"/>
        <w:pageBreakBefore w:val="0"/>
        <w:widowControl w:val="0"/>
        <w:numPr>
          <w:ilvl w:val="0"/>
          <w:numId w:val="1"/>
        </w:numPr>
        <w:kinsoku/>
        <w:wordWrap/>
        <w:overflowPunct/>
        <w:topLinePunct w:val="0"/>
        <w:autoSpaceDE/>
        <w:autoSpaceDN/>
        <w:bidi w:val="0"/>
        <w:spacing w:line="560" w:lineRule="exact"/>
        <w:ind w:left="-10" w:leftChars="0" w:firstLine="64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其他条件</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color w:val="auto"/>
          <w:sz w:val="32"/>
          <w:szCs w:val="32"/>
        </w:rPr>
      </w:pPr>
      <w:r>
        <w:rPr>
          <w:rFonts w:hint="default" w:ascii="仿宋_GB2312" w:hAnsi="宋体" w:eastAsia="仿宋_GB2312" w:cs="宋体"/>
          <w:kern w:val="0"/>
          <w:sz w:val="32"/>
          <w:szCs w:val="32"/>
          <w:lang w:val="en-US" w:eastAsia="zh-CN" w:bidi="ar-SA"/>
        </w:rPr>
        <w:t>为满足今后企业</w:t>
      </w:r>
      <w:r>
        <w:rPr>
          <w:rFonts w:hint="eastAsia" w:ascii="仿宋_GB2312" w:hAnsi="宋体" w:eastAsia="仿宋_GB2312" w:cs="宋体"/>
          <w:kern w:val="0"/>
          <w:sz w:val="32"/>
          <w:szCs w:val="32"/>
          <w:lang w:val="en-US" w:eastAsia="zh-CN" w:bidi="ar-SA"/>
        </w:rPr>
        <w:t>用地需求</w:t>
      </w:r>
      <w:r>
        <w:rPr>
          <w:rFonts w:hint="default" w:ascii="仿宋_GB2312" w:hAnsi="宋体" w:eastAsia="仿宋_GB2312" w:cs="宋体"/>
          <w:kern w:val="0"/>
          <w:sz w:val="32"/>
          <w:szCs w:val="32"/>
          <w:lang w:val="en-US" w:eastAsia="zh-CN" w:bidi="ar-SA"/>
        </w:rPr>
        <w:t>，</w:t>
      </w:r>
      <w:r>
        <w:rPr>
          <w:rFonts w:hint="eastAsia" w:ascii="仿宋_GB2312" w:hAnsi="宋体" w:eastAsia="仿宋_GB2312" w:cs="宋体"/>
          <w:kern w:val="0"/>
          <w:sz w:val="32"/>
          <w:szCs w:val="32"/>
          <w:lang w:val="en-US" w:eastAsia="zh-CN" w:bidi="ar-SA"/>
        </w:rPr>
        <w:t>根据供电配电需求，</w:t>
      </w:r>
      <w:r>
        <w:rPr>
          <w:rFonts w:hint="default" w:ascii="仿宋_GB2312" w:hAnsi="宋体" w:eastAsia="仿宋_GB2312" w:cs="宋体"/>
          <w:kern w:val="0"/>
          <w:sz w:val="32"/>
          <w:szCs w:val="32"/>
          <w:lang w:val="en-US" w:eastAsia="zh-CN" w:bidi="ar-SA"/>
        </w:rPr>
        <w:t>取得以上地块使用权利人需承担在地块内配建一个建筑面积≧60㎡，建筑占地面积≧60㎡的</w:t>
      </w:r>
      <w:r>
        <w:rPr>
          <w:rFonts w:hint="eastAsia" w:ascii="仿宋_GB2312" w:hAnsi="宋体" w:eastAsia="仿宋_GB2312" w:cs="宋体"/>
          <w:kern w:val="0"/>
          <w:sz w:val="32"/>
          <w:szCs w:val="32"/>
          <w:lang w:val="en-US" w:eastAsia="zh-CN" w:bidi="ar-SA"/>
        </w:rPr>
        <w:t>园区</w:t>
      </w:r>
      <w:r>
        <w:rPr>
          <w:rFonts w:hint="default" w:ascii="仿宋_GB2312" w:hAnsi="宋体" w:eastAsia="仿宋_GB2312" w:cs="宋体"/>
          <w:kern w:val="0"/>
          <w:sz w:val="32"/>
          <w:szCs w:val="32"/>
          <w:lang w:val="en-US" w:eastAsia="zh-CN" w:bidi="ar-SA"/>
        </w:rPr>
        <w:t>供电开关</w:t>
      </w:r>
      <w:r>
        <w:rPr>
          <w:rFonts w:hint="eastAsia" w:ascii="仿宋_GB2312" w:hAnsi="宋体" w:eastAsia="仿宋_GB2312" w:cs="宋体"/>
          <w:kern w:val="0"/>
          <w:sz w:val="32"/>
          <w:szCs w:val="32"/>
          <w:lang w:val="en-US" w:eastAsia="zh-CN" w:bidi="ar-SA"/>
        </w:rPr>
        <w:t>站</w:t>
      </w:r>
      <w:r>
        <w:rPr>
          <w:rFonts w:hint="default" w:ascii="仿宋_GB2312" w:hAnsi="宋体" w:eastAsia="仿宋_GB2312" w:cs="宋体"/>
          <w:kern w:val="0"/>
          <w:sz w:val="32"/>
          <w:szCs w:val="32"/>
          <w:lang w:val="en-US" w:eastAsia="zh-CN" w:bidi="ar-SA"/>
        </w:rPr>
        <w:t>配套用房，建成后无偿交给惠城区政府相关部门管理使用。</w:t>
      </w:r>
    </w:p>
    <w:p>
      <w:pPr>
        <w:shd w:val="clear"/>
        <w:tabs>
          <w:tab w:val="left" w:pos="3388"/>
        </w:tabs>
        <w:spacing w:line="560" w:lineRule="exact"/>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lang w:val="en-US" w:eastAsia="zh-CN"/>
        </w:rPr>
        <w:t>一</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按时足额交纳竞买保证金</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竞买人缴交的竞买保证金为人民币</w:t>
      </w:r>
      <w:r>
        <w:rPr>
          <w:rFonts w:hint="eastAsia" w:ascii="仿宋_GB2312" w:hAnsi="仿宋_GB2312" w:eastAsia="仿宋_GB2312" w:cs="仿宋_GB2312"/>
          <w:kern w:val="0"/>
          <w:sz w:val="32"/>
          <w:szCs w:val="32"/>
          <w:highlight w:val="none"/>
          <w:shd w:val="clear" w:color="auto" w:fill="auto"/>
          <w:lang w:val="en-US" w:eastAsia="zh-CN"/>
        </w:rPr>
        <w:t>390</w:t>
      </w:r>
      <w:r>
        <w:rPr>
          <w:rFonts w:hint="eastAsia" w:ascii="仿宋_GB2312" w:hAnsi="仿宋_GB2312" w:eastAsia="仿宋_GB2312" w:cs="仿宋_GB2312"/>
          <w:kern w:val="0"/>
          <w:sz w:val="32"/>
          <w:szCs w:val="32"/>
          <w:highlight w:val="none"/>
          <w:shd w:val="clear" w:color="auto" w:fill="auto"/>
        </w:rPr>
        <w:t>万元。</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val="en-US" w:eastAsia="zh-CN"/>
        </w:rPr>
        <w:t>（二）</w:t>
      </w:r>
      <w:r>
        <w:rPr>
          <w:rFonts w:hint="eastAsia" w:ascii="仿宋_GB2312" w:hAnsi="仿宋_GB2312" w:eastAsia="仿宋_GB2312" w:cs="仿宋_GB2312"/>
          <w:sz w:val="32"/>
          <w:szCs w:val="32"/>
        </w:rPr>
        <w:t>竞买人须提交惠城区发改局出具的与该宗地块产业类型一致的优先发展产业项目文件</w:t>
      </w:r>
      <w:r>
        <w:rPr>
          <w:rFonts w:hint="eastAsia" w:ascii="仿宋_GB2312" w:hAnsi="仿宋_GB2312" w:eastAsia="仿宋_GB2312" w:cs="仿宋_GB2312"/>
          <w:kern w:val="0"/>
          <w:sz w:val="32"/>
          <w:szCs w:val="32"/>
          <w:highlight w:val="none"/>
          <w:shd w:val="clear" w:color="auto" w:fill="auto"/>
          <w:lang w:val="en-US"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w:t>
      </w:r>
      <w:r>
        <w:rPr>
          <w:rFonts w:hint="eastAsia" w:ascii="仿宋_GB2312" w:hAnsi="仿宋_GB2312" w:eastAsia="仿宋_GB2312" w:cs="仿宋_GB2312"/>
          <w:kern w:val="0"/>
          <w:sz w:val="32"/>
          <w:szCs w:val="32"/>
          <w:highlight w:val="none"/>
          <w:shd w:val="clear" w:color="auto" w:fill="auto"/>
          <w:lang w:val="en-US" w:eastAsia="zh-CN"/>
        </w:rPr>
        <w:t>三</w:t>
      </w:r>
      <w:r>
        <w:rPr>
          <w:rFonts w:hint="eastAsia" w:ascii="仿宋_GB2312" w:hAnsi="仿宋_GB2312" w:eastAsia="仿宋_GB2312" w:cs="仿宋_GB2312"/>
          <w:kern w:val="0"/>
          <w:sz w:val="32"/>
          <w:szCs w:val="32"/>
          <w:highlight w:val="none"/>
          <w:shd w:val="clear" w:color="auto" w:fill="auto"/>
        </w:rPr>
        <w:t>）预先办理数字证书。本次国有建设用地使用权网上挂牌出让只能在互联网上，通过惠州市公共资源交易</w:t>
      </w:r>
      <w:r>
        <w:rPr>
          <w:rFonts w:hint="eastAsia" w:ascii="仿宋_GB2312" w:hAnsi="仿宋_GB2312" w:eastAsia="仿宋_GB2312" w:cs="仿宋_GB2312"/>
          <w:sz w:val="32"/>
          <w:szCs w:val="32"/>
          <w:highlight w:val="none"/>
          <w:shd w:val="clear" w:color="auto" w:fill="auto"/>
        </w:rPr>
        <w:t>中心土地与矿业网上挂牌交易系统（</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，以下简称“网上挂牌交易系统”）进行。只有通过网上注册、办理数字证书、按要求足额交付竞买保证金的申请人，才能参加网上挂牌交易活动。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lang w:val="en-US" w:eastAsia="zh-CN" w:bidi="ar-SA"/>
        </w:rPr>
        <w:t>存在下列违法违规违约行为之一的企业及其控股股东，不得参与竞买上述地块</w:t>
      </w:r>
      <w:r>
        <w:rPr>
          <w:rFonts w:hint="eastAsia" w:ascii="仿宋_GB2312" w:hAnsi="仿宋_GB2312" w:eastAsia="仿宋_GB2312" w:cs="仿宋_GB2312"/>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auto"/>
          <w:kern w:val="0"/>
          <w:sz w:val="32"/>
          <w:szCs w:val="32"/>
          <w:highlight w:val="none"/>
          <w:shd w:val="clear" w:color="auto" w:fill="auto"/>
          <w:lang w:val="en-US" w:eastAsia="zh-CN" w:bidi="ar-SA"/>
        </w:rPr>
      </w:pPr>
      <w:r>
        <w:rPr>
          <w:rFonts w:hint="eastAsia" w:ascii="仿宋" w:hAnsi="仿宋" w:eastAsia="仿宋"/>
          <w:sz w:val="32"/>
          <w:szCs w:val="32"/>
          <w:lang w:val="en-US" w:eastAsia="zh-CN"/>
        </w:rPr>
        <w:t>5.至报名日仍</w:t>
      </w:r>
      <w:r>
        <w:rPr>
          <w:rFonts w:hint="eastAsia" w:ascii="仿宋" w:hAnsi="仿宋" w:eastAsia="仿宋"/>
          <w:sz w:val="32"/>
          <w:szCs w:val="32"/>
        </w:rPr>
        <w:t>拖欠政府地价款的</w:t>
      </w:r>
      <w:r>
        <w:rPr>
          <w:rFonts w:hint="eastAsia" w:ascii="仿宋" w:hAnsi="仿宋" w:eastAsia="仿宋"/>
          <w:sz w:val="32"/>
          <w:szCs w:val="32"/>
          <w:lang w:eastAsia="zh-CN"/>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竞得人有下列行为之一的，视为违约，取消竞得人资格，</w:t>
      </w:r>
      <w:r>
        <w:rPr>
          <w:rFonts w:hint="eastAsia" w:ascii="仿宋_GB2312" w:hAnsi="仿宋_GB2312" w:eastAsia="仿宋_GB2312" w:cs="仿宋_GB2312"/>
          <w:sz w:val="32"/>
          <w:szCs w:val="32"/>
          <w:highlight w:val="none"/>
          <w:shd w:val="clear" w:color="auto" w:fill="auto"/>
          <w:lang w:val="en-US" w:eastAsia="zh-CN"/>
        </w:rPr>
        <w:t>定金不予退还,</w:t>
      </w:r>
      <w:r>
        <w:rPr>
          <w:rFonts w:hint="eastAsia" w:ascii="仿宋_GB2312" w:hAnsi="仿宋_GB2312" w:eastAsia="仿宋_GB2312" w:cs="仿宋_GB2312"/>
          <w:sz w:val="32"/>
          <w:szCs w:val="32"/>
          <w:highlight w:val="none"/>
          <w:shd w:val="clear" w:color="auto" w:fill="auto"/>
        </w:rPr>
        <w:t>并由有关部门依法处理;造成损失的，竞得人还应依法承担赔偿责任：</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（一）不符合竞买资格条件的。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（三）竞得人以其他非法手段竞得的。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壹仟叁佰万元整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1300</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sz w:val="32"/>
          <w:szCs w:val="32"/>
          <w:highlight w:val="none"/>
          <w:shd w:val="clear" w:color="auto" w:fill="auto"/>
          <w:lang w:val="en-US" w:eastAsia="zh-CN"/>
        </w:rPr>
        <w:t>2022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6月7</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21</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21</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20008</w:t>
      </w:r>
      <w:r>
        <w:rPr>
          <w:rFonts w:hint="eastAsia" w:ascii="仿宋_GB2312" w:hAnsi="仿宋_GB2312" w:eastAsia="仿宋_GB2312" w:cs="仿宋_GB2312"/>
          <w:sz w:val="32"/>
          <w:szCs w:val="32"/>
          <w:highlight w:val="none"/>
          <w:shd w:val="clear" w:color="auto" w:fill="auto"/>
          <w:lang w:val="en-US" w:eastAsia="zh-CN"/>
        </w:rPr>
        <w:t>号</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 xml:space="preserve"> 8、</w:t>
      </w:r>
      <w:r>
        <w:rPr>
          <w:rFonts w:hint="eastAsia" w:ascii="仿宋_GB2312" w:hAnsi="仿宋_GB2312" w:eastAsia="仿宋_GB2312" w:cs="仿宋_GB2312"/>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21</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sz w:val="32"/>
          <w:szCs w:val="32"/>
          <w:highlight w:val="none"/>
          <w:u w:val="single"/>
          <w:shd w:val="clear" w:color="auto" w:fill="auto"/>
          <w:lang w:val="en-US" w:eastAsia="zh-CN"/>
        </w:rPr>
        <w:t>叁佰玖拾万元整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lang w:val="en-US" w:eastAsia="zh-CN"/>
        </w:rPr>
        <w:t>390</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中信银行股份有限公司惠州分行。</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w:t>
      </w:r>
      <w:r>
        <w:rPr>
          <w:rFonts w:hint="eastAsia" w:ascii="仿宋_GB2312" w:hAnsi="仿宋_GB2312" w:eastAsia="仿宋_GB2312" w:cs="仿宋_GB2312"/>
          <w:sz w:val="32"/>
          <w:szCs w:val="32"/>
        </w:rPr>
        <w:t>竞得人应当在网上挂牌交易结果公布之日起5个工作日内持公司公章及下列有关纸质材料到本中心，由委托方进行资格审查，符合竞买资格的，竞得人应当在网上挂牌交易结果公布之日起5个工作日内签订《成交确认书》</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b w:val="0"/>
          <w:bCs w:val="0"/>
          <w:color w:val="000000"/>
          <w:kern w:val="0"/>
          <w:sz w:val="32"/>
          <w:szCs w:val="32"/>
          <w:lang w:val="en-US" w:eastAsia="zh-CN"/>
        </w:rPr>
        <w:t>竞买人</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w:t>
      </w:r>
      <w:r>
        <w:rPr>
          <w:rFonts w:hint="eastAsia" w:ascii="仿宋_GB2312" w:hAnsi="宋体" w:eastAsia="仿宋_GB2312" w:cs="宋体"/>
          <w:color w:val="auto"/>
          <w:kern w:val="0"/>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rPr>
        <w:t>竞买人须提交</w:t>
      </w:r>
      <w:r>
        <w:rPr>
          <w:rFonts w:hint="eastAsia" w:ascii="仿宋_GB2312" w:hAnsi="仿宋_GB2312" w:eastAsia="仿宋_GB2312" w:cs="仿宋_GB2312"/>
          <w:sz w:val="32"/>
          <w:szCs w:val="32"/>
          <w:lang w:val="en-US" w:eastAsia="zh-CN"/>
        </w:rPr>
        <w:t>惠城区发改局</w:t>
      </w:r>
      <w:r>
        <w:rPr>
          <w:rFonts w:hint="eastAsia" w:ascii="仿宋_GB2312" w:hAnsi="仿宋_GB2312" w:eastAsia="仿宋_GB2312" w:cs="仿宋_GB2312"/>
          <w:sz w:val="32"/>
          <w:szCs w:val="32"/>
        </w:rPr>
        <w:t>出具的与该宗地块产业类型一致的优先发展产业项目文件</w:t>
      </w:r>
      <w:r>
        <w:rPr>
          <w:rFonts w:hint="eastAsia" w:ascii="仿宋_GB2312" w:hAnsi="仿宋_GB2312" w:eastAsia="仿宋_GB2312" w:cs="仿宋_GB2312"/>
          <w:kern w:val="0"/>
          <w:sz w:val="32"/>
          <w:szCs w:val="32"/>
          <w:highlight w:val="none"/>
          <w:shd w:val="clear" w:color="auto" w:fill="auto"/>
          <w:lang w:val="en-US" w:eastAsia="zh-CN"/>
        </w:rPr>
        <w:t>。</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（11）竞买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shd w:val="clear" w:color="auto" w:fill="auto"/>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）确定竞得人后，竞得人持《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w:t>
      </w:r>
      <w:r>
        <w:rPr>
          <w:rFonts w:hint="eastAsia" w:ascii="仿宋_GB2312" w:eastAsia="仿宋_GB2312"/>
          <w:sz w:val="32"/>
          <w:szCs w:val="32"/>
          <w:highlight w:val="none"/>
          <w:shd w:val="clear" w:color="auto" w:fill="auto"/>
          <w:lang w:val="en-US" w:eastAsia="zh-CN"/>
        </w:rPr>
        <w:t>惠城区</w:t>
      </w:r>
      <w:r>
        <w:rPr>
          <w:rFonts w:hint="eastAsia" w:ascii="仿宋_GB2312" w:eastAsia="仿宋_GB2312"/>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pStyle w:val="2"/>
      </w:pPr>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2022年5月17日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61025"/>
    <w:multiLevelType w:val="singleLevel"/>
    <w:tmpl w:val="1F661025"/>
    <w:lvl w:ilvl="0" w:tentative="0">
      <w:start w:val="7"/>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B51C7D"/>
    <w:rsid w:val="02924845"/>
    <w:rsid w:val="031A11BD"/>
    <w:rsid w:val="03913E5D"/>
    <w:rsid w:val="042C6BAB"/>
    <w:rsid w:val="04BB2A35"/>
    <w:rsid w:val="04F7599A"/>
    <w:rsid w:val="05280DC9"/>
    <w:rsid w:val="054F511E"/>
    <w:rsid w:val="05616BEE"/>
    <w:rsid w:val="05AA6043"/>
    <w:rsid w:val="062E1CCB"/>
    <w:rsid w:val="065D58C0"/>
    <w:rsid w:val="06E22DF8"/>
    <w:rsid w:val="071F73B3"/>
    <w:rsid w:val="077D5D24"/>
    <w:rsid w:val="07F629A0"/>
    <w:rsid w:val="091E26EA"/>
    <w:rsid w:val="09317644"/>
    <w:rsid w:val="097F0039"/>
    <w:rsid w:val="0A771CCA"/>
    <w:rsid w:val="0A812477"/>
    <w:rsid w:val="0B1406EF"/>
    <w:rsid w:val="0C40433F"/>
    <w:rsid w:val="0C8642BF"/>
    <w:rsid w:val="0D261A5B"/>
    <w:rsid w:val="0DCB3B54"/>
    <w:rsid w:val="0F0E558C"/>
    <w:rsid w:val="0FB217AF"/>
    <w:rsid w:val="0FB2799E"/>
    <w:rsid w:val="10152918"/>
    <w:rsid w:val="105A2768"/>
    <w:rsid w:val="105C6B40"/>
    <w:rsid w:val="10A1573B"/>
    <w:rsid w:val="10B43BC1"/>
    <w:rsid w:val="111E117E"/>
    <w:rsid w:val="11A17A14"/>
    <w:rsid w:val="12295A9F"/>
    <w:rsid w:val="141106B3"/>
    <w:rsid w:val="14924D3E"/>
    <w:rsid w:val="14D40026"/>
    <w:rsid w:val="15BB632B"/>
    <w:rsid w:val="15C4392F"/>
    <w:rsid w:val="15D340EA"/>
    <w:rsid w:val="16615977"/>
    <w:rsid w:val="168C318D"/>
    <w:rsid w:val="16AE6DA7"/>
    <w:rsid w:val="170F4C1C"/>
    <w:rsid w:val="1729355A"/>
    <w:rsid w:val="17DA4A92"/>
    <w:rsid w:val="18220C10"/>
    <w:rsid w:val="19546A32"/>
    <w:rsid w:val="1960257D"/>
    <w:rsid w:val="19D941D6"/>
    <w:rsid w:val="1B002CF4"/>
    <w:rsid w:val="1C431BA6"/>
    <w:rsid w:val="1CB6407B"/>
    <w:rsid w:val="1D717DCD"/>
    <w:rsid w:val="1DE56E00"/>
    <w:rsid w:val="1E46102C"/>
    <w:rsid w:val="1E4A3E3B"/>
    <w:rsid w:val="1E9B31A0"/>
    <w:rsid w:val="1ED73189"/>
    <w:rsid w:val="1F1E4268"/>
    <w:rsid w:val="1F2C083B"/>
    <w:rsid w:val="20855E22"/>
    <w:rsid w:val="21587C67"/>
    <w:rsid w:val="22463965"/>
    <w:rsid w:val="2249566B"/>
    <w:rsid w:val="22661D8C"/>
    <w:rsid w:val="22DC01FC"/>
    <w:rsid w:val="23141DA3"/>
    <w:rsid w:val="247C6354"/>
    <w:rsid w:val="259D34B7"/>
    <w:rsid w:val="25D63F7C"/>
    <w:rsid w:val="25E54340"/>
    <w:rsid w:val="26391FD0"/>
    <w:rsid w:val="26741665"/>
    <w:rsid w:val="272C05B0"/>
    <w:rsid w:val="281D1027"/>
    <w:rsid w:val="282C1E6E"/>
    <w:rsid w:val="28D2352A"/>
    <w:rsid w:val="28ED736B"/>
    <w:rsid w:val="29220F8B"/>
    <w:rsid w:val="29DE5841"/>
    <w:rsid w:val="2A4D2521"/>
    <w:rsid w:val="2A636D11"/>
    <w:rsid w:val="2AA45603"/>
    <w:rsid w:val="2B1A2077"/>
    <w:rsid w:val="2CA246FC"/>
    <w:rsid w:val="2CAE2771"/>
    <w:rsid w:val="2CD752D7"/>
    <w:rsid w:val="2D027EED"/>
    <w:rsid w:val="2D2632FD"/>
    <w:rsid w:val="2DEB4267"/>
    <w:rsid w:val="2F0337D6"/>
    <w:rsid w:val="2F944F64"/>
    <w:rsid w:val="2FA2409E"/>
    <w:rsid w:val="30AC5587"/>
    <w:rsid w:val="30DB33EE"/>
    <w:rsid w:val="313D23E2"/>
    <w:rsid w:val="31880862"/>
    <w:rsid w:val="31B60A9D"/>
    <w:rsid w:val="324E22EE"/>
    <w:rsid w:val="3398319A"/>
    <w:rsid w:val="33A33367"/>
    <w:rsid w:val="33CE0AAA"/>
    <w:rsid w:val="34836833"/>
    <w:rsid w:val="34B40523"/>
    <w:rsid w:val="34C41D04"/>
    <w:rsid w:val="34CD617E"/>
    <w:rsid w:val="3588604B"/>
    <w:rsid w:val="360B04FE"/>
    <w:rsid w:val="361C1DB9"/>
    <w:rsid w:val="378C6660"/>
    <w:rsid w:val="37FB7A76"/>
    <w:rsid w:val="38703C12"/>
    <w:rsid w:val="38A76E9E"/>
    <w:rsid w:val="38DE5E51"/>
    <w:rsid w:val="390E539D"/>
    <w:rsid w:val="3B06746C"/>
    <w:rsid w:val="3C4A4143"/>
    <w:rsid w:val="3C5E598F"/>
    <w:rsid w:val="3C8F0E4F"/>
    <w:rsid w:val="3CAD2EC5"/>
    <w:rsid w:val="3CB81CC8"/>
    <w:rsid w:val="3D322E34"/>
    <w:rsid w:val="3D34683B"/>
    <w:rsid w:val="3D5E1016"/>
    <w:rsid w:val="3F3F4FAD"/>
    <w:rsid w:val="3FB91BA4"/>
    <w:rsid w:val="3FC22752"/>
    <w:rsid w:val="4115158D"/>
    <w:rsid w:val="418879B1"/>
    <w:rsid w:val="41CE7F2A"/>
    <w:rsid w:val="41EE5FAA"/>
    <w:rsid w:val="420B00A8"/>
    <w:rsid w:val="421630A4"/>
    <w:rsid w:val="43010898"/>
    <w:rsid w:val="432B1A76"/>
    <w:rsid w:val="43E840B4"/>
    <w:rsid w:val="43EC1655"/>
    <w:rsid w:val="440C4340"/>
    <w:rsid w:val="4442558E"/>
    <w:rsid w:val="44811DC9"/>
    <w:rsid w:val="44D36207"/>
    <w:rsid w:val="450E3C66"/>
    <w:rsid w:val="454309A1"/>
    <w:rsid w:val="458C06A8"/>
    <w:rsid w:val="45C47203"/>
    <w:rsid w:val="45E829E7"/>
    <w:rsid w:val="465E4F22"/>
    <w:rsid w:val="467262F8"/>
    <w:rsid w:val="46DA05EA"/>
    <w:rsid w:val="46F579AB"/>
    <w:rsid w:val="48566E44"/>
    <w:rsid w:val="48593E6F"/>
    <w:rsid w:val="48B510E7"/>
    <w:rsid w:val="49076A91"/>
    <w:rsid w:val="493B6F1B"/>
    <w:rsid w:val="4AFF2E69"/>
    <w:rsid w:val="4B8E7FA9"/>
    <w:rsid w:val="4BA610FC"/>
    <w:rsid w:val="4BC3115D"/>
    <w:rsid w:val="4BEE1CA4"/>
    <w:rsid w:val="4CF51C39"/>
    <w:rsid w:val="4D1F6077"/>
    <w:rsid w:val="4DC8070E"/>
    <w:rsid w:val="4E0017E7"/>
    <w:rsid w:val="4ED2701A"/>
    <w:rsid w:val="4F1E4BBE"/>
    <w:rsid w:val="4F3537ED"/>
    <w:rsid w:val="4FFE1B2F"/>
    <w:rsid w:val="51467837"/>
    <w:rsid w:val="51660328"/>
    <w:rsid w:val="52132F5D"/>
    <w:rsid w:val="528F1625"/>
    <w:rsid w:val="52AA5DFE"/>
    <w:rsid w:val="533F6C66"/>
    <w:rsid w:val="544F17E9"/>
    <w:rsid w:val="546D5003"/>
    <w:rsid w:val="54943EAC"/>
    <w:rsid w:val="54C11818"/>
    <w:rsid w:val="55943151"/>
    <w:rsid w:val="57D00A5F"/>
    <w:rsid w:val="58AC5C79"/>
    <w:rsid w:val="58B217DC"/>
    <w:rsid w:val="58FE24B1"/>
    <w:rsid w:val="59693A9B"/>
    <w:rsid w:val="5A154FE3"/>
    <w:rsid w:val="5AEE4F52"/>
    <w:rsid w:val="5B0C2732"/>
    <w:rsid w:val="5B1D2CCC"/>
    <w:rsid w:val="5B52670E"/>
    <w:rsid w:val="5B625B54"/>
    <w:rsid w:val="5B640509"/>
    <w:rsid w:val="5B8E3054"/>
    <w:rsid w:val="5BA7715F"/>
    <w:rsid w:val="5C2A6903"/>
    <w:rsid w:val="5C943765"/>
    <w:rsid w:val="5D006096"/>
    <w:rsid w:val="5D731ABE"/>
    <w:rsid w:val="5DB15592"/>
    <w:rsid w:val="5DF81F1B"/>
    <w:rsid w:val="5DFB50B1"/>
    <w:rsid w:val="5E2E0948"/>
    <w:rsid w:val="5EE41DB0"/>
    <w:rsid w:val="60096844"/>
    <w:rsid w:val="600D408B"/>
    <w:rsid w:val="610A5EBF"/>
    <w:rsid w:val="61245A3C"/>
    <w:rsid w:val="6178185B"/>
    <w:rsid w:val="617F00E3"/>
    <w:rsid w:val="61C04C47"/>
    <w:rsid w:val="61C170AA"/>
    <w:rsid w:val="61D82B90"/>
    <w:rsid w:val="626D5569"/>
    <w:rsid w:val="62D03E81"/>
    <w:rsid w:val="62D41879"/>
    <w:rsid w:val="6398078D"/>
    <w:rsid w:val="641A28B3"/>
    <w:rsid w:val="648A18F5"/>
    <w:rsid w:val="64C30585"/>
    <w:rsid w:val="651C53A6"/>
    <w:rsid w:val="656B5E9D"/>
    <w:rsid w:val="659D6FA9"/>
    <w:rsid w:val="65F2007E"/>
    <w:rsid w:val="66C13377"/>
    <w:rsid w:val="67927D39"/>
    <w:rsid w:val="67EE0FCE"/>
    <w:rsid w:val="68085778"/>
    <w:rsid w:val="688B43B5"/>
    <w:rsid w:val="68E63F59"/>
    <w:rsid w:val="69B07B1E"/>
    <w:rsid w:val="69E22ED5"/>
    <w:rsid w:val="6A15326A"/>
    <w:rsid w:val="6AA821A5"/>
    <w:rsid w:val="6B8A6BF3"/>
    <w:rsid w:val="6BFA1460"/>
    <w:rsid w:val="6C013F77"/>
    <w:rsid w:val="6C181FB4"/>
    <w:rsid w:val="6C197CDD"/>
    <w:rsid w:val="6C5A6DDE"/>
    <w:rsid w:val="6C611252"/>
    <w:rsid w:val="6CCC1A8E"/>
    <w:rsid w:val="6E1E50A4"/>
    <w:rsid w:val="6FCE2720"/>
    <w:rsid w:val="7020680D"/>
    <w:rsid w:val="705B684C"/>
    <w:rsid w:val="713D7851"/>
    <w:rsid w:val="714F5518"/>
    <w:rsid w:val="71AB46C8"/>
    <w:rsid w:val="72CC1A29"/>
    <w:rsid w:val="74CC0B4E"/>
    <w:rsid w:val="74D35F13"/>
    <w:rsid w:val="755C76C8"/>
    <w:rsid w:val="75E43E25"/>
    <w:rsid w:val="76382CBE"/>
    <w:rsid w:val="76B47A3E"/>
    <w:rsid w:val="77A91566"/>
    <w:rsid w:val="77E167B8"/>
    <w:rsid w:val="78591F3E"/>
    <w:rsid w:val="78CA1EAE"/>
    <w:rsid w:val="792409A3"/>
    <w:rsid w:val="7A881483"/>
    <w:rsid w:val="7A962112"/>
    <w:rsid w:val="7AE44F5D"/>
    <w:rsid w:val="7B3065F7"/>
    <w:rsid w:val="7B4F2E9A"/>
    <w:rsid w:val="7B8363CD"/>
    <w:rsid w:val="7D5207DE"/>
    <w:rsid w:val="7E857972"/>
    <w:rsid w:val="7F111F6F"/>
    <w:rsid w:val="7F9A6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color w:val="555555"/>
      <w:sz w:val="21"/>
      <w:szCs w:val="21"/>
      <w:bdr w:val="single" w:color="CCCCCC" w:sz="6" w:space="0"/>
      <w:shd w:val="clear" w:fill="EEEEEE"/>
    </w:rPr>
  </w:style>
  <w:style w:type="character" w:styleId="13">
    <w:name w:val="Hyperlink"/>
    <w:basedOn w:val="9"/>
    <w:qFormat/>
    <w:uiPriority w:val="0"/>
    <w:rPr>
      <w:color w:val="337AB7"/>
      <w:u w:val="none"/>
    </w:rPr>
  </w:style>
  <w:style w:type="character" w:styleId="14">
    <w:name w:val="HTML Code"/>
    <w:basedOn w:val="9"/>
    <w:qFormat/>
    <w:uiPriority w:val="0"/>
    <w:rPr>
      <w:rFonts w:hint="default" w:ascii="Consolas" w:hAnsi="Consolas" w:eastAsia="Consolas" w:cs="Consolas"/>
      <w:color w:val="C7254E"/>
      <w:sz w:val="21"/>
      <w:szCs w:val="21"/>
      <w:shd w:val="clear" w:fill="F9F2F4"/>
    </w:rPr>
  </w:style>
  <w:style w:type="character" w:styleId="15">
    <w:name w:val="HTML Keyboard"/>
    <w:basedOn w:val="9"/>
    <w:qFormat/>
    <w:uiPriority w:val="0"/>
    <w:rPr>
      <w:rFonts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页眉 Char"/>
    <w:basedOn w:val="9"/>
    <w:link w:val="6"/>
    <w:qFormat/>
    <w:uiPriority w:val="0"/>
    <w:rPr>
      <w:rFonts w:ascii="Calibri" w:hAnsi="Calibri"/>
      <w:kern w:val="2"/>
      <w:sz w:val="18"/>
      <w:szCs w:val="18"/>
    </w:rPr>
  </w:style>
  <w:style w:type="character" w:customStyle="1" w:styleId="18">
    <w:name w:val="页脚 Char"/>
    <w:basedOn w:val="9"/>
    <w:link w:val="5"/>
    <w:qFormat/>
    <w:uiPriority w:val="99"/>
    <w:rPr>
      <w:rFonts w:ascii="Calibri" w:hAnsi="Calibri"/>
      <w:kern w:val="2"/>
      <w:sz w:val="18"/>
      <w:szCs w:val="22"/>
    </w:rPr>
  </w:style>
  <w:style w:type="character" w:customStyle="1" w:styleId="19">
    <w:name w:val="正文文本缩进 Char"/>
    <w:basedOn w:val="9"/>
    <w:link w:val="3"/>
    <w:qFormat/>
    <w:uiPriority w:val="0"/>
    <w:rPr>
      <w:rFonts w:ascii="仿宋_GB2312" w:hAnsi="华文中宋" w:eastAsia="仿宋_GB2312"/>
      <w:sz w:val="32"/>
      <w:szCs w:val="24"/>
    </w:rPr>
  </w:style>
  <w:style w:type="character" w:customStyle="1" w:styleId="20">
    <w:name w:val="actspan"/>
    <w:basedOn w:val="9"/>
    <w:qFormat/>
    <w:uiPriority w:val="0"/>
  </w:style>
  <w:style w:type="character" w:customStyle="1" w:styleId="21">
    <w:name w:val="layui-layer-tabnow"/>
    <w:basedOn w:val="9"/>
    <w:qFormat/>
    <w:uiPriority w:val="0"/>
    <w:rPr>
      <w:bdr w:val="single" w:color="CCCCCC" w:sz="6" w:space="0"/>
      <w:shd w:val="clear" w:fill="FFFFFF"/>
    </w:rPr>
  </w:style>
  <w:style w:type="character" w:customStyle="1" w:styleId="22">
    <w:name w:val="first-child"/>
    <w:basedOn w:val="9"/>
    <w:qFormat/>
    <w:uiPriority w:val="0"/>
  </w:style>
  <w:style w:type="character" w:customStyle="1" w:styleId="23">
    <w:name w:val="actspan2"/>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0</TotalTime>
  <ScaleCrop>false</ScaleCrop>
  <LinksUpToDate>false</LinksUpToDate>
  <CharactersWithSpaces>8733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叶舒</cp:lastModifiedBy>
  <cp:lastPrinted>2022-05-10T02:51:00Z</cp:lastPrinted>
  <dcterms:modified xsi:type="dcterms:W3CDTF">2022-05-17T08:16:18Z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844A8BE9FF7B4045B1B05C09266726FC</vt:lpwstr>
  </property>
</Properties>
</file>